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W w:w="9150" w:type="dxa"/>
        <w:tblCellMar>
          <w:left w:w="0" w:type="dxa"/>
          <w:right w:w="0" w:type="dxa"/>
        </w:tblCellMar>
        <w:tblLook w:val="04A0" w:firstRow="1" w:lastRow="0" w:firstColumn="1" w:lastColumn="0" w:noHBand="0" w:noVBand="1"/>
      </w:tblPr>
      <w:tblGrid>
        <w:gridCol w:w="9150"/>
      </w:tblGrid>
      <w:tr w:rsidR="00DE2676" w14:paraId="418070C7" w14:textId="77777777" w:rsidTr="00DE2676">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DE2676" w14:paraId="18DB2944" w14:textId="7777777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150"/>
                  </w:tblGrid>
                  <w:tr w:rsidR="00DE2676" w14:paraId="3183254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150"/>
                        </w:tblGrid>
                        <w:tr w:rsidR="00DE2676" w14:paraId="66C182A0" w14:textId="77777777">
                          <w:tc>
                            <w:tcPr>
                              <w:tcW w:w="0" w:type="auto"/>
                              <w:hideMark/>
                            </w:tcPr>
                            <w:p w14:paraId="3FF9A1D0" w14:textId="77777777" w:rsidR="00DE2676" w:rsidRDefault="00DE2676" w:rsidP="00965A62">
                              <w:pPr>
                                <w:framePr w:hSpace="180" w:wrap="around" w:vAnchor="text" w:hAnchor="text"/>
                              </w:pPr>
                            </w:p>
                          </w:tc>
                        </w:tr>
                        <w:tr w:rsidR="00DE2676" w14:paraId="724B37F6" w14:textId="77777777">
                          <w:tc>
                            <w:tcPr>
                              <w:tcW w:w="0" w:type="auto"/>
                              <w:hideMark/>
                            </w:tcPr>
                            <w:tbl>
                              <w:tblPr>
                                <w:tblW w:w="5000" w:type="pct"/>
                                <w:tblCellMar>
                                  <w:left w:w="0" w:type="dxa"/>
                                  <w:right w:w="0" w:type="dxa"/>
                                </w:tblCellMar>
                                <w:tblLook w:val="04A0" w:firstRow="1" w:lastRow="0" w:firstColumn="1" w:lastColumn="0" w:noHBand="0" w:noVBand="1"/>
                              </w:tblPr>
                              <w:tblGrid>
                                <w:gridCol w:w="9150"/>
                              </w:tblGrid>
                              <w:tr w:rsidR="00DE2676" w14:paraId="21B41EA9" w14:textId="77777777">
                                <w:tc>
                                  <w:tcPr>
                                    <w:tcW w:w="0" w:type="auto"/>
                                    <w:tcBorders>
                                      <w:top w:val="nil"/>
                                      <w:left w:val="nil"/>
                                      <w:bottom w:val="single" w:sz="8" w:space="0" w:color="AEAEAE"/>
                                      <w:right w:val="nil"/>
                                    </w:tcBorders>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DE2676" w14:paraId="1C09BBF9" w14:textId="77777777">
                                      <w:tc>
                                        <w:tcPr>
                                          <w:tcW w:w="0" w:type="auto"/>
                                          <w:tcMar>
                                            <w:top w:w="15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DE2676" w14:paraId="79B6386A" w14:textId="77777777">
                                            <w:tc>
                                              <w:tcPr>
                                                <w:tcW w:w="0" w:type="auto"/>
                                                <w:tcMar>
                                                  <w:top w:w="0" w:type="dxa"/>
                                                  <w:left w:w="150" w:type="dxa"/>
                                                  <w:bottom w:w="0" w:type="dxa"/>
                                                  <w:right w:w="150" w:type="dxa"/>
                                                </w:tcMar>
                                                <w:vAlign w:val="center"/>
                                                <w:hideMark/>
                                              </w:tcPr>
                                              <w:p w14:paraId="28BD1AB4"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5E9F3038"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3C7CFAF3"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1608FFD4"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r w:rsidR="00DE2676" w14:paraId="060A908B" w14:textId="77777777">
                          <w:tc>
                            <w:tcPr>
                              <w:tcW w:w="0" w:type="auto"/>
                              <w:hideMark/>
                            </w:tcPr>
                            <w:tbl>
                              <w:tblPr>
                                <w:tblW w:w="5000" w:type="pct"/>
                                <w:tblCellMar>
                                  <w:left w:w="0" w:type="dxa"/>
                                  <w:right w:w="0" w:type="dxa"/>
                                </w:tblCellMar>
                                <w:tblLook w:val="04A0" w:firstRow="1" w:lastRow="0" w:firstColumn="1" w:lastColumn="0" w:noHBand="0" w:noVBand="1"/>
                              </w:tblPr>
                              <w:tblGrid>
                                <w:gridCol w:w="9150"/>
                              </w:tblGrid>
                              <w:tr w:rsidR="00DE2676" w14:paraId="33E4D668" w14:textId="77777777">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DE2676" w14:paraId="17216B36" w14:textId="77777777">
                                      <w:tc>
                                        <w:tcPr>
                                          <w:tcW w:w="0" w:type="auto"/>
                                          <w:tcMar>
                                            <w:top w:w="0" w:type="dxa"/>
                                            <w:left w:w="150" w:type="dxa"/>
                                            <w:bottom w:w="150" w:type="dxa"/>
                                            <w:right w:w="150" w:type="dxa"/>
                                          </w:tcMar>
                                          <w:vAlign w:val="center"/>
                                          <w:hideMark/>
                                        </w:tcPr>
                                        <w:p w14:paraId="4AAED14D" w14:textId="77777777" w:rsidR="00DE2676" w:rsidRDefault="00DE2676" w:rsidP="00965A62">
                                          <w:pPr>
                                            <w:framePr w:hSpace="180" w:wrap="around" w:vAnchor="text" w:hAnchor="text"/>
                                            <w:spacing w:line="360" w:lineRule="auto"/>
                                            <w:rPr>
                                              <w:rFonts w:ascii="Arial" w:hAnsi="Arial" w:cs="Arial"/>
                                              <w:color w:val="2C2A29"/>
                                              <w:sz w:val="21"/>
                                              <w:szCs w:val="21"/>
                                            </w:rPr>
                                          </w:pPr>
                                          <w:r>
                                            <w:rPr>
                                              <w:rFonts w:ascii="Arial" w:hAnsi="Arial" w:cs="Arial"/>
                                              <w:color w:val="2C2A29"/>
                                              <w:sz w:val="21"/>
                                              <w:szCs w:val="21"/>
                                            </w:rPr>
                                            <w:t>Members of the FSU Research Community, </w:t>
                                          </w:r>
                                          <w:r>
                                            <w:rPr>
                                              <w:rFonts w:ascii="Arial" w:hAnsi="Arial" w:cs="Arial"/>
                                              <w:color w:val="2C2A29"/>
                                              <w:sz w:val="21"/>
                                              <w:szCs w:val="21"/>
                                            </w:rPr>
                                            <w:br/>
                                          </w:r>
                                          <w:r>
                                            <w:rPr>
                                              <w:rFonts w:ascii="Arial" w:hAnsi="Arial" w:cs="Arial"/>
                                              <w:color w:val="2C2A29"/>
                                              <w:sz w:val="21"/>
                                              <w:szCs w:val="21"/>
                                            </w:rPr>
                                            <w:br/>
                                            <w:t>With the potential for a federal government shutdown, you may be concerned about how this will affect your federally funded grants or contracts. While the requirements vary</w:t>
                                          </w:r>
                                          <w:r>
                                            <w:rPr>
                                              <w:rFonts w:ascii="Arial" w:hAnsi="Arial" w:cs="Arial"/>
                                              <w:color w:val="2C2A29"/>
                                              <w:sz w:val="21"/>
                                              <w:szCs w:val="21"/>
                                            </w:rPr>
                                            <w:br/>
                                            <w:t xml:space="preserve">somewhat by agency, the approaches are similar. </w:t>
                                          </w:r>
                                          <w:r>
                                            <w:rPr>
                                              <w:rFonts w:ascii="Arial" w:hAnsi="Arial" w:cs="Arial"/>
                                              <w:b/>
                                              <w:bCs/>
                                              <w:color w:val="2C2A29"/>
                                              <w:sz w:val="21"/>
                                              <w:szCs w:val="21"/>
                                            </w:rPr>
                                            <w:t xml:space="preserve">In most cases, your research should continue during this period. </w:t>
                                          </w:r>
                                          <w:r>
                                            <w:rPr>
                                              <w:rFonts w:ascii="Arial" w:hAnsi="Arial" w:cs="Arial"/>
                                              <w:b/>
                                              <w:bCs/>
                                              <w:color w:val="2C2A29"/>
                                              <w:sz w:val="21"/>
                                              <w:szCs w:val="21"/>
                                              <w:u w:val="single"/>
                                            </w:rPr>
                                            <w:t>Absent notification to the contrary, researchers may</w:t>
                                          </w:r>
                                          <w:r>
                                            <w:rPr>
                                              <w:rFonts w:ascii="Arial" w:hAnsi="Arial" w:cs="Arial"/>
                                              <w:b/>
                                              <w:bCs/>
                                              <w:color w:val="2C2A29"/>
                                              <w:sz w:val="21"/>
                                              <w:szCs w:val="21"/>
                                              <w:u w:val="single"/>
                                            </w:rPr>
                                            <w:br/>
                                            <w:t>presume that they can proceed as normal.</w:t>
                                          </w:r>
                                          <w:r>
                                            <w:rPr>
                                              <w:rFonts w:ascii="Arial" w:hAnsi="Arial" w:cs="Arial"/>
                                              <w:color w:val="2C2A29"/>
                                              <w:sz w:val="21"/>
                                              <w:szCs w:val="21"/>
                                            </w:rPr>
                                            <w:t xml:space="preserve"> However, there will be some impacts, as detailed below.</w:t>
                                          </w:r>
                                          <w:r>
                                            <w:rPr>
                                              <w:rFonts w:ascii="Arial" w:hAnsi="Arial" w:cs="Arial"/>
                                              <w:color w:val="2C2A29"/>
                                              <w:sz w:val="21"/>
                                              <w:szCs w:val="21"/>
                                            </w:rPr>
                                            <w:br/>
                                            <w:t> </w:t>
                                          </w:r>
                                        </w:p>
                                        <w:p w14:paraId="2FA05768" w14:textId="77777777" w:rsidR="00DE2676" w:rsidRDefault="00DE2676" w:rsidP="00965A62">
                                          <w:pPr>
                                            <w:framePr w:hSpace="180" w:wrap="around" w:vAnchor="text" w:hAnchor="text"/>
                                            <w:spacing w:line="360" w:lineRule="auto"/>
                                            <w:jc w:val="center"/>
                                            <w:rPr>
                                              <w:rFonts w:ascii="Arial" w:hAnsi="Arial" w:cs="Arial"/>
                                              <w:color w:val="2C2A29"/>
                                              <w:sz w:val="21"/>
                                              <w:szCs w:val="21"/>
                                            </w:rPr>
                                          </w:pPr>
                                          <w:r>
                                            <w:rPr>
                                              <w:rFonts w:ascii="Arial" w:hAnsi="Arial" w:cs="Arial"/>
                                              <w:b/>
                                              <w:bCs/>
                                              <w:color w:val="2C2A29"/>
                                              <w:sz w:val="21"/>
                                              <w:szCs w:val="21"/>
                                              <w:u w:val="single"/>
                                            </w:rPr>
                                            <w:t>Florida State University Federal Government Shutdown Guidance</w:t>
                                          </w:r>
                                        </w:p>
                                        <w:p w14:paraId="354601DB" w14:textId="77777777" w:rsidR="00DE2676" w:rsidRDefault="00DE2676" w:rsidP="00965A62">
                                          <w:pPr>
                                            <w:framePr w:hSpace="180" w:wrap="around" w:vAnchor="text" w:hAnchor="text"/>
                                            <w:spacing w:line="360" w:lineRule="auto"/>
                                            <w:rPr>
                                              <w:rFonts w:ascii="Arial" w:hAnsi="Arial" w:cs="Arial"/>
                                              <w:color w:val="2C2A29"/>
                                              <w:sz w:val="21"/>
                                              <w:szCs w:val="21"/>
                                            </w:rPr>
                                          </w:pPr>
                                          <w:r>
                                            <w:rPr>
                                              <w:rFonts w:ascii="Arial" w:hAnsi="Arial" w:cs="Arial"/>
                                              <w:color w:val="2C2A29"/>
                                              <w:sz w:val="21"/>
                                              <w:szCs w:val="21"/>
                                            </w:rPr>
                                            <w:br/>
                                          </w:r>
                                          <w:r>
                                            <w:rPr>
                                              <w:rFonts w:ascii="Arial" w:hAnsi="Arial" w:cs="Arial"/>
                                              <w:b/>
                                              <w:bCs/>
                                              <w:color w:val="2C2A29"/>
                                              <w:sz w:val="21"/>
                                              <w:szCs w:val="21"/>
                                            </w:rPr>
                                            <w:t>General Expectations:</w:t>
                                          </w:r>
                                          <w:r>
                                            <w:rPr>
                                              <w:rFonts w:ascii="Arial" w:hAnsi="Arial" w:cs="Arial"/>
                                              <w:color w:val="2C2A29"/>
                                              <w:sz w:val="21"/>
                                              <w:szCs w:val="21"/>
                                            </w:rPr>
                                            <w:br/>
                                          </w:r>
                                          <w:r>
                                            <w:rPr>
                                              <w:rFonts w:ascii="Arial" w:hAnsi="Arial" w:cs="Arial"/>
                                              <w:color w:val="2C2A29"/>
                                              <w:sz w:val="21"/>
                                              <w:szCs w:val="21"/>
                                            </w:rPr>
                                            <w:br/>
                                          </w:r>
                                          <w:r>
                                            <w:rPr>
                                              <w:rFonts w:ascii="Arial" w:hAnsi="Arial" w:cs="Arial"/>
                                              <w:b/>
                                              <w:bCs/>
                                              <w:i/>
                                              <w:iCs/>
                                              <w:color w:val="2C2A29"/>
                                              <w:sz w:val="21"/>
                                              <w:szCs w:val="21"/>
                                            </w:rPr>
                                            <w:t xml:space="preserve">While, in most cases, a federal shutdown </w:t>
                                          </w:r>
                                          <w:r>
                                            <w:rPr>
                                              <w:rFonts w:ascii="Arial" w:hAnsi="Arial" w:cs="Arial"/>
                                              <w:b/>
                                              <w:bCs/>
                                              <w:i/>
                                              <w:iCs/>
                                              <w:color w:val="2C2A29"/>
                                              <w:sz w:val="21"/>
                                              <w:szCs w:val="21"/>
                                              <w:u w:val="single"/>
                                            </w:rPr>
                                            <w:t xml:space="preserve">will not </w:t>
                                          </w:r>
                                          <w:r>
                                            <w:rPr>
                                              <w:rFonts w:ascii="Arial" w:hAnsi="Arial" w:cs="Arial"/>
                                              <w:b/>
                                              <w:bCs/>
                                              <w:i/>
                                              <w:iCs/>
                                              <w:color w:val="2C2A29"/>
                                              <w:sz w:val="21"/>
                                              <w:szCs w:val="21"/>
                                            </w:rPr>
                                            <w:t>require discontinuing research activities, </w:t>
                                          </w:r>
                                          <w:r>
                                            <w:rPr>
                                              <w:rFonts w:ascii="Arial" w:hAnsi="Arial" w:cs="Arial"/>
                                              <w:color w:val="2C2A29"/>
                                              <w:sz w:val="21"/>
                                              <w:szCs w:val="21"/>
                                            </w:rPr>
                                            <w:t>there will be some impacts to the administration, distribution, and funding of federal contracts and grants. While it is important to note that each federal agency will apply unique procedures and protocols, including the issuance of their contingency plans, FSU can generally expect the following during a shutdown:</w:t>
                                          </w:r>
                                          <w:r>
                                            <w:rPr>
                                              <w:rFonts w:ascii="Arial" w:hAnsi="Arial" w:cs="Arial"/>
                                              <w:color w:val="2C2A29"/>
                                              <w:sz w:val="21"/>
                                              <w:szCs w:val="21"/>
                                            </w:rPr>
                                            <w:br/>
                                            <w:t> </w:t>
                                          </w:r>
                                        </w:p>
                                        <w:p w14:paraId="59C1F690" w14:textId="77777777" w:rsidR="00DE2676" w:rsidRDefault="00DE2676" w:rsidP="00965A62">
                                          <w:pPr>
                                            <w:framePr w:hSpace="180" w:wrap="around" w:vAnchor="text" w:hAnchor="text"/>
                                            <w:spacing w:line="360" w:lineRule="auto"/>
                                            <w:rPr>
                                              <w:rFonts w:ascii="Arial" w:hAnsi="Arial" w:cs="Arial"/>
                                              <w:color w:val="2C2A29"/>
                                              <w:sz w:val="21"/>
                                              <w:szCs w:val="21"/>
                                            </w:rPr>
                                          </w:pPr>
                                          <w:r>
                                            <w:rPr>
                                              <w:rFonts w:ascii="Arial" w:hAnsi="Arial" w:cs="Arial"/>
                                              <w:color w:val="2C2A29"/>
                                              <w:sz w:val="21"/>
                                              <w:szCs w:val="21"/>
                                            </w:rPr>
                                            <w:t>1. Agencies will be prohibited from issuing new grants/contracts or amendments, including those for continued funding increments, supplements, or no-cost time extensions requiring explicit prior Federal awarding agency approval.</w:t>
                                          </w:r>
                                          <w:r>
                                            <w:rPr>
                                              <w:rFonts w:ascii="Arial" w:hAnsi="Arial" w:cs="Arial"/>
                                              <w:color w:val="2C2A29"/>
                                              <w:sz w:val="21"/>
                                              <w:szCs w:val="21"/>
                                            </w:rPr>
                                            <w:br/>
                                          </w:r>
                                          <w:r>
                                            <w:rPr>
                                              <w:rFonts w:ascii="Arial" w:hAnsi="Arial" w:cs="Arial"/>
                                              <w:color w:val="2C2A29"/>
                                              <w:sz w:val="21"/>
                                              <w:szCs w:val="21"/>
                                            </w:rPr>
                                            <w:br/>
                                            <w:t>2. Most agencies’ staff will not be working. Inquiries about upcoming deadlines, proposal preparation, applications, or actions requiring prior approval will likely go unanswered until the shutdown is resolved.</w:t>
                                          </w:r>
                                          <w:r>
                                            <w:rPr>
                                              <w:rFonts w:ascii="Arial" w:hAnsi="Arial" w:cs="Arial"/>
                                              <w:color w:val="2C2A29"/>
                                              <w:sz w:val="21"/>
                                              <w:szCs w:val="21"/>
                                            </w:rPr>
                                            <w:br/>
                                          </w:r>
                                          <w:r>
                                            <w:rPr>
                                              <w:rFonts w:ascii="Arial" w:hAnsi="Arial" w:cs="Arial"/>
                                              <w:color w:val="2C2A29"/>
                                              <w:sz w:val="21"/>
                                              <w:szCs w:val="21"/>
                                            </w:rPr>
                                            <w:br/>
                                            <w:t>3. The agencies’ proposal review process will be delayed.</w:t>
                                          </w:r>
                                          <w:r>
                                            <w:rPr>
                                              <w:rFonts w:ascii="Arial" w:hAnsi="Arial" w:cs="Arial"/>
                                              <w:sz w:val="21"/>
                                              <w:szCs w:val="21"/>
                                            </w:rPr>
                                            <w:t xml:space="preserve"> However, proposals should continue to be submitted during the shutdown if the system for submission is available. </w:t>
                                          </w:r>
                                          <w:r>
                                            <w:rPr>
                                              <w:rFonts w:ascii="Arial" w:hAnsi="Arial" w:cs="Arial"/>
                                              <w:color w:val="2C2A29"/>
                                              <w:sz w:val="21"/>
                                              <w:szCs w:val="21"/>
                                            </w:rPr>
                                            <w:br/>
                                          </w:r>
                                          <w:r>
                                            <w:rPr>
                                              <w:rFonts w:ascii="Arial" w:hAnsi="Arial" w:cs="Arial"/>
                                              <w:color w:val="2C2A29"/>
                                              <w:sz w:val="21"/>
                                              <w:szCs w:val="21"/>
                                            </w:rPr>
                                            <w:br/>
                                            <w:t>4. Grant payments from the agencies will be stalled.</w:t>
                                          </w:r>
                                          <w:r>
                                            <w:rPr>
                                              <w:rFonts w:ascii="Arial" w:hAnsi="Arial" w:cs="Arial"/>
                                              <w:color w:val="2C2A29"/>
                                              <w:sz w:val="21"/>
                                              <w:szCs w:val="21"/>
                                            </w:rPr>
                                            <w:br/>
                                          </w:r>
                                          <w:r>
                                            <w:rPr>
                                              <w:rFonts w:ascii="Arial" w:hAnsi="Arial" w:cs="Arial"/>
                                              <w:color w:val="2C2A29"/>
                                              <w:sz w:val="21"/>
                                              <w:szCs w:val="21"/>
                                            </w:rPr>
                                            <w:br/>
                                            <w:t>5. Principal Investigators (PIs) should continue to meet all deadlines outlined in their awards and should be able to submit annual and final project reports and Project Outcomes Reports via Research.gov.</w:t>
                                          </w:r>
                                          <w:r>
                                            <w:rPr>
                                              <w:rFonts w:ascii="Arial" w:hAnsi="Arial" w:cs="Arial"/>
                                              <w:color w:val="2C2A29"/>
                                              <w:sz w:val="21"/>
                                              <w:szCs w:val="21"/>
                                            </w:rPr>
                                            <w:br/>
                                          </w:r>
                                          <w:r>
                                            <w:rPr>
                                              <w:rFonts w:ascii="Arial" w:hAnsi="Arial" w:cs="Arial"/>
                                              <w:color w:val="2C2A29"/>
                                              <w:sz w:val="21"/>
                                              <w:szCs w:val="21"/>
                                            </w:rPr>
                                            <w:br/>
                                            <w:t>6. Once the shutdown is lifted, there will still be delays as the federal government resumes its operations. Do not expect grants and contracts to be immediately issued the day or week after the shutdown ends.</w:t>
                                          </w:r>
                                          <w:r>
                                            <w:rPr>
                                              <w:rFonts w:ascii="Arial" w:hAnsi="Arial" w:cs="Arial"/>
                                              <w:color w:val="2C2A29"/>
                                              <w:sz w:val="21"/>
                                              <w:szCs w:val="21"/>
                                            </w:rPr>
                                            <w:br/>
                                          </w:r>
                                          <w:r>
                                            <w:rPr>
                                              <w:rFonts w:ascii="Arial" w:hAnsi="Arial" w:cs="Arial"/>
                                              <w:color w:val="2C2A29"/>
                                              <w:sz w:val="21"/>
                                              <w:szCs w:val="21"/>
                                            </w:rPr>
                                            <w:br/>
                                            <w:t>7. Research projects and FSU employees who will be most directly impacted are those with the closest ties to a federal agency or federal employees. This could</w:t>
                                          </w:r>
                                          <w:r>
                                            <w:rPr>
                                              <w:rFonts w:ascii="Arial" w:hAnsi="Arial" w:cs="Arial"/>
                                              <w:color w:val="2C2A29"/>
                                              <w:sz w:val="21"/>
                                              <w:szCs w:val="21"/>
                                            </w:rPr>
                                            <w:br/>
                                            <w:t>include cooperative agreements with a federal research partner, FSU students receiving direct stipends from the federal government under training grants, and</w:t>
                                          </w:r>
                                          <w:r>
                                            <w:rPr>
                                              <w:rFonts w:ascii="Arial" w:hAnsi="Arial" w:cs="Arial"/>
                                              <w:color w:val="2C2A29"/>
                                              <w:sz w:val="21"/>
                                              <w:szCs w:val="21"/>
                                            </w:rPr>
                                            <w:br/>
                                            <w:t>FSU projects or employees working on-site at a federal facility.</w:t>
                                          </w:r>
                                          <w:r>
                                            <w:rPr>
                                              <w:rFonts w:ascii="Arial" w:hAnsi="Arial" w:cs="Arial"/>
                                              <w:color w:val="2C2A29"/>
                                              <w:sz w:val="21"/>
                                              <w:szCs w:val="21"/>
                                            </w:rPr>
                                            <w:br/>
                                            <w:t> </w:t>
                                          </w:r>
                                        </w:p>
                                        <w:p w14:paraId="011CE183" w14:textId="77777777" w:rsidR="00DE2676" w:rsidRDefault="00DE2676" w:rsidP="00965A62">
                                          <w:pPr>
                                            <w:framePr w:hSpace="180" w:wrap="around" w:vAnchor="text" w:hAnchor="text"/>
                                            <w:spacing w:line="360" w:lineRule="auto"/>
                                            <w:rPr>
                                              <w:rFonts w:ascii="Arial" w:hAnsi="Arial" w:cs="Arial"/>
                                              <w:color w:val="2C2A29"/>
                                              <w:sz w:val="21"/>
                                              <w:szCs w:val="21"/>
                                            </w:rPr>
                                          </w:pPr>
                                          <w:r>
                                            <w:rPr>
                                              <w:rFonts w:ascii="Arial" w:hAnsi="Arial" w:cs="Arial"/>
                                              <w:b/>
                                              <w:bCs/>
                                              <w:color w:val="2C2A29"/>
                                              <w:sz w:val="21"/>
                                              <w:szCs w:val="21"/>
                                            </w:rPr>
                                            <w:t>Impact on in-progress federally funded awards:</w:t>
                                          </w:r>
                                        </w:p>
                                        <w:p w14:paraId="4C0400FB" w14:textId="77777777" w:rsidR="00DE2676" w:rsidRDefault="00DE2676" w:rsidP="00965A62">
                                          <w:pPr>
                                            <w:framePr w:hSpace="180" w:wrap="around" w:vAnchor="text" w:hAnchor="text"/>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Conduct of Research:</w:t>
                                          </w:r>
                                          <w:r>
                                            <w:rPr>
                                              <w:rFonts w:ascii="Arial" w:eastAsia="Times New Roman" w:hAnsi="Arial" w:cs="Arial"/>
                                              <w:color w:val="2C2A29"/>
                                              <w:sz w:val="21"/>
                                              <w:szCs w:val="21"/>
                                            </w:rPr>
                                            <w:t xml:space="preserve"> Generally speaking, a government shutdown will have little to no immediate impact on the ability of in-place federally funded research to continue. </w:t>
                                          </w:r>
                                          <w:r>
                                            <w:rPr>
                                              <w:rFonts w:ascii="Arial" w:eastAsia="Times New Roman" w:hAnsi="Arial" w:cs="Arial"/>
                                              <w:b/>
                                              <w:bCs/>
                                              <w:color w:val="2C2A29"/>
                                              <w:sz w:val="21"/>
                                              <w:szCs w:val="21"/>
                                              <w:u w:val="single"/>
                                            </w:rPr>
                                            <w:t>Absent notification to the contrary, researchers may presume that they can proceed as normal.</w:t>
                                          </w:r>
                                        </w:p>
                                        <w:p w14:paraId="50A68556" w14:textId="77777777" w:rsidR="00DE2676" w:rsidRDefault="00DE2676" w:rsidP="00965A62">
                                          <w:pPr>
                                            <w:framePr w:hSpace="180" w:wrap="around" w:vAnchor="text" w:hAnchor="text"/>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Collaborative Projects Requiring Access to Federal Facilities/Staff:</w:t>
                                          </w:r>
                                          <w:r>
                                            <w:rPr>
                                              <w:rFonts w:ascii="Arial" w:eastAsia="Times New Roman" w:hAnsi="Arial" w:cs="Arial"/>
                                              <w:color w:val="2C2A29"/>
                                              <w:sz w:val="21"/>
                                              <w:szCs w:val="21"/>
                                            </w:rPr>
                                            <w:t xml:space="preserve"> For federally funded work that requires access to federal facilities or federal staff affected by a shutdown, the Principal Investigator (PI) should evaluate whether there are portions of the work that can continue. For cooperative agreements, the PI should perform this analysis prior to the shutdown in consultation with the federal program manager and departmental leadership. If the work cannot continue without access to federal facilities/staff, the department should determine if persons working under the agreement can be redirected to other work and/or fund sources. If such redirection is not feasible, the department should work with Human Resources’ Employee &amp; Labor Relations (ELR) of to identify next steps.</w:t>
                                          </w:r>
                                        </w:p>
                                        <w:p w14:paraId="1F56059E" w14:textId="77777777" w:rsidR="00DE2676" w:rsidRDefault="00DE2676" w:rsidP="00965A62">
                                          <w:pPr>
                                            <w:framePr w:hSpace="180" w:wrap="around" w:vAnchor="text" w:hAnchor="text"/>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Federal Agency Direct Pays:</w:t>
                                          </w:r>
                                          <w:r>
                                            <w:rPr>
                                              <w:rFonts w:ascii="Arial" w:eastAsia="Times New Roman" w:hAnsi="Arial" w:cs="Arial"/>
                                              <w:color w:val="2C2A29"/>
                                              <w:sz w:val="21"/>
                                              <w:szCs w:val="21"/>
                                            </w:rPr>
                                            <w:t xml:space="preserve"> Each department should attempt to identify employees paid directly by a federal agency affected by a shutdown. For example, a few NSF fellows are paid directly by NSF. The department housing these employees should evaluate locally available financial resources to determine how and whether these employees can be paid by the University from other fund sources. This assumes that such individuals can continue their work (i.e., if they do not need access to federal facilities/staff to do their work). Alternate funding sources could include SRAD, E&amp;G, unrestricted FSU Research Foundation funds, or Foundation funds, under the assumption that such sources will be made whole once the government reopens and reimburses the University for such expenditures.</w:t>
                                          </w:r>
                                        </w:p>
                                        <w:p w14:paraId="42223BEA" w14:textId="77777777" w:rsidR="00DE2676" w:rsidRDefault="00DE2676" w:rsidP="00965A62">
                                          <w:pPr>
                                            <w:framePr w:hSpace="180" w:wrap="around" w:vAnchor="text" w:hAnchor="text"/>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 xml:space="preserve">Federal Expenditure Reimbursement: </w:t>
                                          </w:r>
                                          <w:r>
                                            <w:rPr>
                                              <w:rFonts w:ascii="Arial" w:eastAsia="Times New Roman" w:hAnsi="Arial" w:cs="Arial"/>
                                              <w:color w:val="2C2A29"/>
                                              <w:sz w:val="21"/>
                                              <w:szCs w:val="21"/>
                                            </w:rPr>
                                            <w:t xml:space="preserve">The University will not be able to receive reimbursement but will cover the costs of federally funded research during the shutdown (pending receipt of the funds from the agencies following the end of the shutdown). </w:t>
                                          </w:r>
                                          <w:proofErr w:type="gramStart"/>
                                          <w:r>
                                            <w:rPr>
                                              <w:rFonts w:ascii="Arial" w:eastAsia="Times New Roman" w:hAnsi="Arial" w:cs="Arial"/>
                                              <w:color w:val="2C2A29"/>
                                              <w:sz w:val="21"/>
                                              <w:szCs w:val="21"/>
                                            </w:rPr>
                                            <w:t>The  determination</w:t>
                                          </w:r>
                                          <w:proofErr w:type="gramEnd"/>
                                          <w:r>
                                            <w:rPr>
                                              <w:rFonts w:ascii="Arial" w:eastAsia="Times New Roman" w:hAnsi="Arial" w:cs="Arial"/>
                                              <w:color w:val="2C2A29"/>
                                              <w:sz w:val="21"/>
                                              <w:szCs w:val="21"/>
                                            </w:rPr>
                                            <w:t xml:space="preserve"> of how long federally funded projects can be supported by the University funding depends on the shutdown length and the level of funding needed. If the shutdown lasts an extended period and there needs to be any changes to the research expenditures being incurred, further guidance will be provided to the FSU research community.</w:t>
                                          </w:r>
                                        </w:p>
                                        <w:p w14:paraId="36615EB8" w14:textId="77777777" w:rsidR="00DE2676" w:rsidRDefault="00DE2676" w:rsidP="00965A62">
                                          <w:pPr>
                                            <w:framePr w:hSpace="180" w:wrap="around" w:vAnchor="text" w:hAnchor="text"/>
                                            <w:spacing w:line="360" w:lineRule="auto"/>
                                            <w:rPr>
                                              <w:rFonts w:ascii="Arial" w:hAnsi="Arial" w:cs="Arial"/>
                                              <w:color w:val="2C2A29"/>
                                              <w:sz w:val="21"/>
                                              <w:szCs w:val="21"/>
                                            </w:rPr>
                                          </w:pPr>
                                          <w:r>
                                            <w:rPr>
                                              <w:rFonts w:ascii="Arial" w:hAnsi="Arial" w:cs="Arial"/>
                                              <w:b/>
                                              <w:bCs/>
                                              <w:color w:val="2C2A29"/>
                                              <w:sz w:val="21"/>
                                              <w:szCs w:val="21"/>
                                            </w:rPr>
                                            <w:t>Stop Work Orders</w:t>
                                          </w:r>
                                        </w:p>
                                        <w:p w14:paraId="507B8319" w14:textId="77777777" w:rsidR="00DE2676" w:rsidRDefault="00DE2676" w:rsidP="00965A62">
                                          <w:pPr>
                                            <w:framePr w:hSpace="180" w:wrap="around" w:vAnchor="text" w:hAnchor="text"/>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Some federal contracts contain a clause that gives the federal agency sponsor the right to order FSU to stop performing work. If an agency exercises this right under a specified contract, FSU would not be reimbursed for expenses incurred between the effective date of the Stop Work Order (SWO) and when the order is rescinded.</w:t>
                                          </w:r>
                                        </w:p>
                                        <w:p w14:paraId="2D613026" w14:textId="77777777" w:rsidR="00DE2676" w:rsidRDefault="00DE2676" w:rsidP="00965A62">
                                          <w:pPr>
                                            <w:framePr w:hSpace="180" w:wrap="around" w:vAnchor="text" w:hAnchor="text"/>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If a researcher or department receives or is notified of a SWO from a federal agency</w:t>
                                          </w:r>
                                          <w:r>
                                            <w:rPr>
                                              <w:rFonts w:ascii="Arial" w:eastAsia="Times New Roman" w:hAnsi="Arial" w:cs="Arial"/>
                                              <w:sz w:val="21"/>
                                              <w:szCs w:val="21"/>
                                            </w:rPr>
                                            <w:t xml:space="preserve"> or pass-through entity</w:t>
                                          </w:r>
                                          <w:r>
                                            <w:rPr>
                                              <w:rFonts w:ascii="Arial" w:eastAsia="Times New Roman" w:hAnsi="Arial" w:cs="Arial"/>
                                              <w:color w:val="2C2A29"/>
                                              <w:sz w:val="21"/>
                                              <w:szCs w:val="21"/>
                                            </w:rPr>
                                            <w:t xml:space="preserve">, they must immediately provide a copy of this correspondence to </w:t>
                                          </w:r>
                                          <w:r>
                                            <w:rPr>
                                              <w:rFonts w:ascii="Arial" w:eastAsia="Times New Roman" w:hAnsi="Arial" w:cs="Arial"/>
                                              <w:sz w:val="21"/>
                                              <w:szCs w:val="21"/>
                                            </w:rPr>
                                            <w:t>Kerry Peluso, Associate Vice President for Research Administration and Finance (</w:t>
                                          </w:r>
                                          <w:hyperlink r:id="rId5" w:history="1">
                                            <w:r>
                                              <w:rPr>
                                                <w:rStyle w:val="Hyperlink"/>
                                                <w:rFonts w:ascii="Arial" w:eastAsia="Times New Roman" w:hAnsi="Arial" w:cs="Arial"/>
                                                <w:sz w:val="21"/>
                                                <w:szCs w:val="21"/>
                                              </w:rPr>
                                              <w:t>kpeluso@fsu.edu</w:t>
                                            </w:r>
                                          </w:hyperlink>
                                          <w:r>
                                            <w:rPr>
                                              <w:rFonts w:ascii="Arial" w:eastAsia="Times New Roman" w:hAnsi="Arial" w:cs="Arial"/>
                                              <w:sz w:val="21"/>
                                              <w:szCs w:val="21"/>
                                            </w:rPr>
                                            <w:t>)</w:t>
                                          </w:r>
                                          <w:r>
                                            <w:rPr>
                                              <w:rFonts w:ascii="Arial" w:eastAsia="Times New Roman" w:hAnsi="Arial" w:cs="Arial"/>
                                              <w:color w:val="2C2A29"/>
                                              <w:sz w:val="21"/>
                                              <w:szCs w:val="21"/>
                                            </w:rPr>
                                            <w:t xml:space="preserve"> and implement a series of steps to stop work on the project. This may include canceling any cancelable orders, notifying </w:t>
                                          </w:r>
                                          <w:proofErr w:type="spellStart"/>
                                          <w:r>
                                            <w:rPr>
                                              <w:rFonts w:ascii="Arial" w:eastAsia="Times New Roman" w:hAnsi="Arial" w:cs="Arial"/>
                                              <w:color w:val="2C2A29"/>
                                              <w:sz w:val="21"/>
                                              <w:szCs w:val="21"/>
                                            </w:rPr>
                                            <w:t>subawardees</w:t>
                                          </w:r>
                                          <w:proofErr w:type="spellEnd"/>
                                          <w:r>
                                            <w:rPr>
                                              <w:rFonts w:ascii="Arial" w:eastAsia="Times New Roman" w:hAnsi="Arial" w:cs="Arial"/>
                                              <w:color w:val="2C2A29"/>
                                              <w:sz w:val="21"/>
                                              <w:szCs w:val="21"/>
                                            </w:rPr>
                                            <w:t>, subcontractors, and consultants (through SWOs or termination notices) that they must stop work on the project, notifying personnel working on the project, and working with Human Resources’ Employee &amp; Labor Relations (ELR) to address any staffing concerns. If other fund sources/projects are available, it may be advantageous to move personnel onto other projects (to the extent allowed by that funding source).</w:t>
                                          </w:r>
                                        </w:p>
                                        <w:p w14:paraId="0480E206" w14:textId="77777777" w:rsidR="00DE2676" w:rsidRDefault="00DE2676" w:rsidP="00965A62">
                                          <w:pPr>
                                            <w:framePr w:hSpace="180" w:wrap="around" w:vAnchor="text" w:hAnchor="text"/>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 xml:space="preserve">If FSU receives a SWO from a pass-through entity, SRA will clarify with the passthrough entity whether they received an official SWO from the prime federal </w:t>
                                          </w:r>
                                          <w:proofErr w:type="gramStart"/>
                                          <w:r>
                                            <w:rPr>
                                              <w:rFonts w:ascii="Arial" w:eastAsia="Times New Roman" w:hAnsi="Arial" w:cs="Arial"/>
                                              <w:color w:val="2C2A29"/>
                                              <w:sz w:val="21"/>
                                              <w:szCs w:val="21"/>
                                            </w:rPr>
                                            <w:t>sponsor, and</w:t>
                                          </w:r>
                                          <w:proofErr w:type="gramEnd"/>
                                          <w:r>
                                            <w:rPr>
                                              <w:rFonts w:ascii="Arial" w:eastAsia="Times New Roman" w:hAnsi="Arial" w:cs="Arial"/>
                                              <w:color w:val="2C2A29"/>
                                              <w:sz w:val="21"/>
                                              <w:szCs w:val="21"/>
                                            </w:rPr>
                                            <w:t xml:space="preserve"> obtain a copy of the federal SWO. (In some cases, a federal SWO has not been issued to the pass-through entity, and work can continue, although payments may be delayed until the government re-opens.)</w:t>
                                          </w:r>
                                        </w:p>
                                        <w:p w14:paraId="5F6BA6D7" w14:textId="77777777" w:rsidR="00DE2676" w:rsidRDefault="00DE2676" w:rsidP="00965A62">
                                          <w:pPr>
                                            <w:framePr w:hSpace="180" w:wrap="around" w:vAnchor="text" w:hAnchor="text"/>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Depending on the department’s other available resources and risk tolerance, departments should review any lease costs that would have been paid with federal funding affected by the SWO. Departments should determine how they will pay the lease if they stay in the building or contact Facilities to determine if they can/should terminate the lease agreement. Note that lease terminations often require advance notice. If the leased building houses University-owned equipment, the department should determine an alternate space and a method of transportation for such equipment.</w:t>
                                          </w:r>
                                        </w:p>
                                        <w:p w14:paraId="3FEC7BD1" w14:textId="77777777" w:rsidR="00DE2676" w:rsidRDefault="00DE2676" w:rsidP="00965A62">
                                          <w:pPr>
                                            <w:framePr w:hSpace="180" w:wrap="around" w:vAnchor="text" w:hAnchor="text"/>
                                            <w:spacing w:line="360" w:lineRule="auto"/>
                                            <w:rPr>
                                              <w:rFonts w:ascii="Arial" w:hAnsi="Arial" w:cs="Arial"/>
                                              <w:color w:val="2C2A29"/>
                                              <w:sz w:val="21"/>
                                              <w:szCs w:val="21"/>
                                            </w:rPr>
                                          </w:pPr>
                                          <w:r>
                                            <w:rPr>
                                              <w:rFonts w:ascii="Arial" w:hAnsi="Arial" w:cs="Arial"/>
                                              <w:b/>
                                              <w:bCs/>
                                              <w:color w:val="2C2A29"/>
                                              <w:sz w:val="21"/>
                                              <w:szCs w:val="21"/>
                                            </w:rPr>
                                            <w:t>Potential student impacts</w:t>
                                          </w:r>
                                        </w:p>
                                        <w:p w14:paraId="6E56E879" w14:textId="77777777" w:rsidR="00DE2676" w:rsidRDefault="00DE2676" w:rsidP="00965A62">
                                          <w:pPr>
                                            <w:framePr w:hSpace="180" w:wrap="around" w:vAnchor="text" w:hAnchor="text"/>
                                            <w:numPr>
                                              <w:ilvl w:val="0"/>
                                              <w:numId w:val="3"/>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 xml:space="preserve">It is recommended that the Graduate School and/or Financial Aid Office identify any students working on </w:t>
                                          </w:r>
                                          <w:proofErr w:type="gramStart"/>
                                          <w:r>
                                            <w:rPr>
                                              <w:rFonts w:ascii="Arial" w:eastAsia="Times New Roman" w:hAnsi="Arial" w:cs="Arial"/>
                                              <w:color w:val="2C2A29"/>
                                              <w:sz w:val="21"/>
                                              <w:szCs w:val="21"/>
                                            </w:rPr>
                                            <w:t>federally-funded</w:t>
                                          </w:r>
                                          <w:proofErr w:type="gramEnd"/>
                                          <w:r>
                                            <w:rPr>
                                              <w:rFonts w:ascii="Arial" w:eastAsia="Times New Roman" w:hAnsi="Arial" w:cs="Arial"/>
                                              <w:color w:val="2C2A29"/>
                                              <w:sz w:val="21"/>
                                              <w:szCs w:val="21"/>
                                            </w:rPr>
                                            <w:t xml:space="preserve"> research projects for course credit. If the students cannot complete such work due to a federal shutdown, the University will explore whether the students can engage in unaffected activities that could count for partial credit (for example, a classroom component or independent study). Students who fall below a certain number of units per quarter (or semester) could risk jeopardizing their student aid financial packages and should consult with a financial aid advisor.</w:t>
                                          </w:r>
                                        </w:p>
                                      </w:tc>
                                    </w:tr>
                                  </w:tbl>
                                  <w:p w14:paraId="781AB6D4"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6D022321"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r w:rsidR="00DE2676" w14:paraId="06AEA068" w14:textId="77777777">
                          <w:tc>
                            <w:tcPr>
                              <w:tcW w:w="0" w:type="auto"/>
                              <w:hideMark/>
                            </w:tcPr>
                            <w:tbl>
                              <w:tblPr>
                                <w:tblW w:w="5000" w:type="pct"/>
                                <w:tblCellMar>
                                  <w:left w:w="0" w:type="dxa"/>
                                  <w:right w:w="0" w:type="dxa"/>
                                </w:tblCellMar>
                                <w:tblLook w:val="04A0" w:firstRow="1" w:lastRow="0" w:firstColumn="1" w:lastColumn="0" w:noHBand="0" w:noVBand="1"/>
                              </w:tblPr>
                              <w:tblGrid>
                                <w:gridCol w:w="9150"/>
                              </w:tblGrid>
                              <w:tr w:rsidR="00DE2676" w14:paraId="69C9780F" w14:textId="77777777">
                                <w:tc>
                                  <w:tcPr>
                                    <w:tcW w:w="0" w:type="auto"/>
                                    <w:vAlign w:val="center"/>
                                  </w:tcPr>
                                  <w:p w14:paraId="5E57D92B" w14:textId="77777777" w:rsidR="00DE2676" w:rsidRDefault="00DE2676" w:rsidP="00965A62">
                                    <w:pPr>
                                      <w:framePr w:hSpace="180" w:wrap="around" w:vAnchor="text" w:hAnchor="text"/>
                                      <w:rPr>
                                        <w:sz w:val="24"/>
                                        <w:szCs w:val="24"/>
                                      </w:rPr>
                                    </w:pPr>
                                    <w:r>
                                      <w:rPr>
                                        <w:sz w:val="24"/>
                                        <w:szCs w:val="24"/>
                                      </w:rPr>
                                      <w:t>If you have any questions, please contact Pam Ray (</w:t>
                                    </w:r>
                                    <w:hyperlink r:id="rId6" w:history="1">
                                      <w:r>
                                        <w:rPr>
                                          <w:rStyle w:val="Hyperlink"/>
                                          <w:sz w:val="24"/>
                                          <w:szCs w:val="24"/>
                                        </w:rPr>
                                        <w:t>pray2@fsu.edu</w:t>
                                      </w:r>
                                    </w:hyperlink>
                                    <w:r>
                                      <w:rPr>
                                        <w:sz w:val="24"/>
                                        <w:szCs w:val="24"/>
                                      </w:rPr>
                                      <w:t xml:space="preserve"> or 850-644-8643) or Kerry Peluso (</w:t>
                                    </w:r>
                                    <w:hyperlink r:id="rId7" w:history="1">
                                      <w:r>
                                        <w:rPr>
                                          <w:rStyle w:val="Hyperlink"/>
                                          <w:sz w:val="24"/>
                                          <w:szCs w:val="24"/>
                                        </w:rPr>
                                        <w:t>kpeluso@fsu.edu</w:t>
                                      </w:r>
                                    </w:hyperlink>
                                    <w:r>
                                      <w:rPr>
                                        <w:sz w:val="24"/>
                                        <w:szCs w:val="24"/>
                                      </w:rPr>
                                      <w:t xml:space="preserve"> or 850-644-8664). </w:t>
                                    </w:r>
                                  </w:p>
                                  <w:p w14:paraId="6B333B0F" w14:textId="77777777" w:rsidR="00DE2676" w:rsidRDefault="00DE2676" w:rsidP="00965A62">
                                    <w:pPr>
                                      <w:framePr w:hSpace="180" w:wrap="around" w:vAnchor="text" w:hAnchor="text"/>
                                      <w:rPr>
                                        <w:sz w:val="24"/>
                                        <w:szCs w:val="24"/>
                                      </w:rPr>
                                    </w:pPr>
                                  </w:p>
                                  <w:p w14:paraId="276D92A1" w14:textId="77777777" w:rsidR="00DE2676" w:rsidRDefault="00DE2676" w:rsidP="00965A62">
                                    <w:pPr>
                                      <w:framePr w:hSpace="180" w:wrap="around" w:vAnchor="text" w:hAnchor="text"/>
                                      <w:rPr>
                                        <w:sz w:val="24"/>
                                        <w:szCs w:val="24"/>
                                      </w:rPr>
                                    </w:pPr>
                                    <w:r>
                                      <w:rPr>
                                        <w:sz w:val="24"/>
                                        <w:szCs w:val="24"/>
                                      </w:rPr>
                                      <w:t xml:space="preserve">Thank you, </w:t>
                                    </w:r>
                                  </w:p>
                                  <w:p w14:paraId="319EFEC9" w14:textId="77777777" w:rsidR="00DE2676" w:rsidRDefault="00DE2676" w:rsidP="00965A62">
                                    <w:pPr>
                                      <w:framePr w:hSpace="180" w:wrap="around" w:vAnchor="text" w:hAnchor="text"/>
                                      <w:rPr>
                                        <w:i/>
                                        <w:iCs/>
                                        <w:sz w:val="24"/>
                                        <w:szCs w:val="24"/>
                                      </w:rPr>
                                    </w:pPr>
                                    <w:r>
                                      <w:rPr>
                                        <w:i/>
                                        <w:iCs/>
                                        <w:sz w:val="24"/>
                                        <w:szCs w:val="24"/>
                                      </w:rPr>
                                      <w:t>Sponsored Research Administration</w:t>
                                    </w:r>
                                  </w:p>
                                  <w:p w14:paraId="3BA125C2" w14:textId="77777777" w:rsidR="00DE2676" w:rsidRDefault="00DE2676" w:rsidP="00965A62">
                                    <w:pPr>
                                      <w:framePr w:hSpace="180" w:wrap="around" w:vAnchor="text" w:hAnchor="text"/>
                                      <w:spacing w:line="360" w:lineRule="auto"/>
                                      <w:rPr>
                                        <w:rFonts w:ascii="Arial" w:hAnsi="Arial" w:cs="Arial"/>
                                        <w:color w:val="2C2A29"/>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9150"/>
                                    </w:tblGrid>
                                    <w:tr w:rsidR="00DE2676" w14:paraId="6C494FB1" w14:textId="77777777">
                                      <w:tc>
                                        <w:tcPr>
                                          <w:tcW w:w="0" w:type="auto"/>
                                          <w:shd w:val="clear" w:color="auto" w:fill="FFFFFF"/>
                                          <w:tcMar>
                                            <w:top w:w="30" w:type="dxa"/>
                                            <w:left w:w="30" w:type="dxa"/>
                                            <w:bottom w:w="30" w:type="dxa"/>
                                            <w:right w:w="3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90"/>
                                          </w:tblGrid>
                                          <w:tr w:rsidR="00DE2676" w14:paraId="16D6C23D" w14:textId="77777777">
                                            <w:tc>
                                              <w:tcPr>
                                                <w:tcW w:w="5000" w:type="pct"/>
                                                <w:shd w:val="clear" w:color="auto" w:fill="FFFFFF"/>
                                              </w:tcPr>
                                              <w:p w14:paraId="30325AEB" w14:textId="77777777" w:rsidR="00DE2676" w:rsidRDefault="00DE2676" w:rsidP="00965A62">
                                                <w:pPr>
                                                  <w:framePr w:hSpace="180" w:wrap="around" w:vAnchor="text" w:hAnchor="text"/>
                                                  <w:jc w:val="center"/>
                                                  <w:rPr>
                                                    <w:rFonts w:ascii="Aptos" w:hAnsi="Aptos"/>
                                                    <w:sz w:val="24"/>
                                                    <w:szCs w:val="24"/>
                                                  </w:rPr>
                                                </w:pPr>
                                              </w:p>
                                            </w:tc>
                                          </w:tr>
                                        </w:tbl>
                                        <w:p w14:paraId="47E661F8"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53832905" w14:textId="77777777" w:rsidR="00DE2676" w:rsidRDefault="00DE2676" w:rsidP="00965A62">
                                    <w:pPr>
                                      <w:framePr w:hSpace="180" w:wrap="around" w:vAnchor="text" w:hAnchor="text"/>
                                      <w:rPr>
                                        <w:rFonts w:ascii="Aptos" w:hAnsi="Aptos"/>
                                        <w:sz w:val="24"/>
                                        <w:szCs w:val="24"/>
                                      </w:rPr>
                                    </w:pPr>
                                  </w:p>
                                </w:tc>
                              </w:tr>
                            </w:tbl>
                            <w:p w14:paraId="710FD015"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744C631C" w14:textId="77777777" w:rsidR="00DE2676" w:rsidRDefault="00DE2676" w:rsidP="00965A62">
                        <w:pPr>
                          <w:rPr>
                            <w:rFonts w:ascii="Times New Roman" w:eastAsia="Times New Roman" w:hAnsi="Times New Roman" w:cs="Times New Roman"/>
                            <w:sz w:val="20"/>
                            <w:szCs w:val="20"/>
                          </w:rPr>
                        </w:pPr>
                      </w:p>
                    </w:tc>
                  </w:tr>
                </w:tbl>
                <w:p w14:paraId="0F3900AA" w14:textId="77777777" w:rsidR="00DE2676" w:rsidRDefault="00DE2676" w:rsidP="00965A62">
                  <w:pPr>
                    <w:framePr w:hSpace="180" w:wrap="around" w:vAnchor="text" w:hAnchor="text"/>
                    <w:rPr>
                      <w:rFonts w:ascii="Times New Roman" w:eastAsia="Times New Roman" w:hAnsi="Times New Roman" w:cs="Times New Roman"/>
                      <w:sz w:val="20"/>
                      <w:szCs w:val="20"/>
                    </w:rPr>
                  </w:pPr>
                </w:p>
              </w:tc>
            </w:tr>
          </w:tbl>
          <w:p w14:paraId="2ACACF53" w14:textId="77777777" w:rsidR="00DE2676" w:rsidRDefault="00DE2676" w:rsidP="00965A62">
            <w:pPr>
              <w:rPr>
                <w:rFonts w:ascii="Times New Roman" w:eastAsia="Times New Roman" w:hAnsi="Times New Roman" w:cs="Times New Roman"/>
                <w:sz w:val="20"/>
                <w:szCs w:val="20"/>
              </w:rPr>
            </w:pPr>
          </w:p>
        </w:tc>
      </w:tr>
    </w:tbl>
    <w:p w14:paraId="3C976755" w14:textId="77777777" w:rsidR="00DE2676" w:rsidRDefault="00DE2676"/>
    <w:sectPr w:rsidR="00DE2676" w:rsidSect="00DE26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C202B"/>
    <w:multiLevelType w:val="multilevel"/>
    <w:tmpl w:val="AF1A0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D3BEC"/>
    <w:multiLevelType w:val="multilevel"/>
    <w:tmpl w:val="1E7CC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85E27"/>
    <w:multiLevelType w:val="multilevel"/>
    <w:tmpl w:val="6B1C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7209781">
    <w:abstractNumId w:val="0"/>
    <w:lvlOverride w:ilvl="0"/>
    <w:lvlOverride w:ilvl="1"/>
    <w:lvlOverride w:ilvl="2"/>
    <w:lvlOverride w:ilvl="3"/>
    <w:lvlOverride w:ilvl="4"/>
    <w:lvlOverride w:ilvl="5"/>
    <w:lvlOverride w:ilvl="6"/>
    <w:lvlOverride w:ilvl="7"/>
    <w:lvlOverride w:ilvl="8"/>
  </w:num>
  <w:num w:numId="2" w16cid:durableId="763385354">
    <w:abstractNumId w:val="1"/>
    <w:lvlOverride w:ilvl="0"/>
    <w:lvlOverride w:ilvl="1"/>
    <w:lvlOverride w:ilvl="2"/>
    <w:lvlOverride w:ilvl="3"/>
    <w:lvlOverride w:ilvl="4"/>
    <w:lvlOverride w:ilvl="5"/>
    <w:lvlOverride w:ilvl="6"/>
    <w:lvlOverride w:ilvl="7"/>
    <w:lvlOverride w:ilvl="8"/>
  </w:num>
  <w:num w:numId="3" w16cid:durableId="32625164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76"/>
    <w:rsid w:val="00DE2676"/>
    <w:rsid w:val="00E0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C306"/>
  <w15:chartTrackingRefBased/>
  <w15:docId w15:val="{9DC4BB49-89DB-4383-A0B3-EB0A5E6E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76"/>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E2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6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6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6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6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6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676"/>
    <w:rPr>
      <w:rFonts w:eastAsiaTheme="majorEastAsia" w:cstheme="majorBidi"/>
      <w:color w:val="272727" w:themeColor="text1" w:themeTint="D8"/>
    </w:rPr>
  </w:style>
  <w:style w:type="paragraph" w:styleId="Title">
    <w:name w:val="Title"/>
    <w:basedOn w:val="Normal"/>
    <w:next w:val="Normal"/>
    <w:link w:val="TitleChar"/>
    <w:uiPriority w:val="10"/>
    <w:qFormat/>
    <w:rsid w:val="00DE26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676"/>
    <w:pPr>
      <w:spacing w:before="160"/>
      <w:jc w:val="center"/>
    </w:pPr>
    <w:rPr>
      <w:i/>
      <w:iCs/>
      <w:color w:val="404040" w:themeColor="text1" w:themeTint="BF"/>
    </w:rPr>
  </w:style>
  <w:style w:type="character" w:customStyle="1" w:styleId="QuoteChar">
    <w:name w:val="Quote Char"/>
    <w:basedOn w:val="DefaultParagraphFont"/>
    <w:link w:val="Quote"/>
    <w:uiPriority w:val="29"/>
    <w:rsid w:val="00DE2676"/>
    <w:rPr>
      <w:i/>
      <w:iCs/>
      <w:color w:val="404040" w:themeColor="text1" w:themeTint="BF"/>
    </w:rPr>
  </w:style>
  <w:style w:type="paragraph" w:styleId="ListParagraph">
    <w:name w:val="List Paragraph"/>
    <w:basedOn w:val="Normal"/>
    <w:uiPriority w:val="34"/>
    <w:qFormat/>
    <w:rsid w:val="00DE2676"/>
    <w:pPr>
      <w:ind w:left="720"/>
      <w:contextualSpacing/>
    </w:pPr>
  </w:style>
  <w:style w:type="character" w:styleId="IntenseEmphasis">
    <w:name w:val="Intense Emphasis"/>
    <w:basedOn w:val="DefaultParagraphFont"/>
    <w:uiPriority w:val="21"/>
    <w:qFormat/>
    <w:rsid w:val="00DE2676"/>
    <w:rPr>
      <w:i/>
      <w:iCs/>
      <w:color w:val="0F4761" w:themeColor="accent1" w:themeShade="BF"/>
    </w:rPr>
  </w:style>
  <w:style w:type="paragraph" w:styleId="IntenseQuote">
    <w:name w:val="Intense Quote"/>
    <w:basedOn w:val="Normal"/>
    <w:next w:val="Normal"/>
    <w:link w:val="IntenseQuoteChar"/>
    <w:uiPriority w:val="30"/>
    <w:qFormat/>
    <w:rsid w:val="00DE2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676"/>
    <w:rPr>
      <w:i/>
      <w:iCs/>
      <w:color w:val="0F4761" w:themeColor="accent1" w:themeShade="BF"/>
    </w:rPr>
  </w:style>
  <w:style w:type="character" w:styleId="IntenseReference">
    <w:name w:val="Intense Reference"/>
    <w:basedOn w:val="DefaultParagraphFont"/>
    <w:uiPriority w:val="32"/>
    <w:qFormat/>
    <w:rsid w:val="00DE2676"/>
    <w:rPr>
      <w:b/>
      <w:bCs/>
      <w:smallCaps/>
      <w:color w:val="0F4761" w:themeColor="accent1" w:themeShade="BF"/>
      <w:spacing w:val="5"/>
    </w:rPr>
  </w:style>
  <w:style w:type="character" w:styleId="Hyperlink">
    <w:name w:val="Hyperlink"/>
    <w:basedOn w:val="DefaultParagraphFont"/>
    <w:uiPriority w:val="99"/>
    <w:semiHidden/>
    <w:unhideWhenUsed/>
    <w:rsid w:val="00DE26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peluso@f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y2@fsu.edu" TargetMode="External"/><Relationship Id="rId5" Type="http://schemas.openxmlformats.org/officeDocument/2006/relationships/hyperlink" Target="mailto:kpeluso@f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2025-03-13T16:33:00Z</dcterms:created>
  <dcterms:modified xsi:type="dcterms:W3CDTF">2025-03-13T16:34:00Z</dcterms:modified>
</cp:coreProperties>
</file>